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全国大学生电子商务“创新、创意及创业”挑战赛</w:t>
      </w:r>
    </w:p>
    <w:p>
      <w:pPr>
        <w:numPr>
          <w:ilvl w:val="0"/>
          <w:numId w:val="0"/>
        </w:numPr>
        <w:spacing w:line="360" w:lineRule="auto"/>
        <w:ind w:firstLine="440" w:firstLineChars="20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“三创赛”是由中华人民共和国教育部主管，教育部高等学校电子商务类专业教学指导委员会主办，“三创赛”竞赛组织委员会、全国决赛承办单位、分省选拔赛承办单位和参赛学校组织实施的全国性竞赛，竞赛分为校赛、省赛和全国总决赛三级赛事，该赛事被纳入《2013-2017 年高校创新人才培养暨学科竞赛评估结果》19 项国内具有广泛影响力的竞赛项目。</w:t>
      </w:r>
    </w:p>
    <w:p>
      <w:pPr>
        <w:numPr>
          <w:ilvl w:val="0"/>
          <w:numId w:val="0"/>
        </w:numPr>
        <w:spacing w:line="360" w:lineRule="auto"/>
        <w:ind w:firstLine="440" w:firstLineChars="200"/>
        <w:rPr>
          <w:rFonts w:hint="eastAsia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经管学院在山东赛区省级选拔赛现场决赛参赛项目，齐鲁 e 出游团队荣获省级二等奖，书鸢·五点析字团队和锐锋方鸿美丽乡村文化建设团队荣获省级三等奖，多个参赛项目在校级获得奖项。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18415</wp:posOffset>
            </wp:positionV>
            <wp:extent cx="5268595" cy="2901315"/>
            <wp:effectExtent l="0" t="0" r="4445" b="952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省奖照片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586105</wp:posOffset>
            </wp:positionH>
            <wp:positionV relativeFrom="paragraph">
              <wp:posOffset>69850</wp:posOffset>
            </wp:positionV>
            <wp:extent cx="3619500" cy="2222500"/>
            <wp:effectExtent l="0" t="0" r="7620" b="2540"/>
            <wp:wrapSquare wrapText="bothSides"/>
            <wp:docPr id="3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84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384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384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384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384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384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384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384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/>
          <w:bCs/>
          <w:lang w:val="en-US" w:eastAsia="zh-CN"/>
        </w:rPr>
        <w:t xml:space="preserve"> 三创赛现场照片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D59E9"/>
    <w:rsid w:val="2F5D59E9"/>
    <w:rsid w:val="564C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2020-08-04T03:43:00Z</dcterms:created>
  <dc:creator>施豪正</dc:creator>
  <cp:lastModifiedBy>云飞风翔</cp:lastModifiedBy>
  <dcterms:modified xsi:type="dcterms:W3CDTF">2020-08-04T04:53:15Z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